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97" w:rsidRPr="00E06AA0" w:rsidRDefault="00217D33">
      <w:pPr>
        <w:rPr>
          <w:b/>
          <w:sz w:val="44"/>
          <w:szCs w:val="44"/>
          <w:u w:val="single"/>
        </w:rPr>
      </w:pPr>
      <w:r w:rsidRPr="00217D33">
        <w:rPr>
          <w:b/>
          <w:sz w:val="44"/>
          <w:szCs w:val="44"/>
          <w:u w:val="single"/>
        </w:rPr>
        <w:t>Applicability of Internal Audit</w:t>
      </w:r>
    </w:p>
    <w:p w:rsidR="00217D33" w:rsidRDefault="00B8649C">
      <w:r>
        <w:t>Section 138 of t</w:t>
      </w:r>
      <w:r w:rsidR="00217D33">
        <w:t>he Companies Act, 2013</w:t>
      </w:r>
      <w:r>
        <w:t xml:space="preserve"> read with Rule 13 of Companies (Accounts) Rules, 2014</w:t>
      </w:r>
      <w:r w:rsidR="00217D33">
        <w:t xml:space="preserve"> requires the following classes of Companies </w:t>
      </w:r>
      <w:r>
        <w:t>to appoint an Internal Auditor, who shall either be a Chartered Accountant, Cost Accountant, or such other professional as may be decided by the Board to conduct internal audit of the functions and activities of the company:</w:t>
      </w:r>
    </w:p>
    <w:p w:rsidR="00B8649C" w:rsidRPr="002814FF" w:rsidRDefault="00631AE1" w:rsidP="00B8649C">
      <w:pPr>
        <w:pStyle w:val="ListParagraph"/>
        <w:numPr>
          <w:ilvl w:val="0"/>
          <w:numId w:val="1"/>
        </w:numPr>
        <w:rPr>
          <w:rFonts w:cstheme="minorHAnsi"/>
        </w:rPr>
      </w:pPr>
      <w:r w:rsidRPr="00631AE1">
        <w:rPr>
          <w:rFonts w:cstheme="minorHAnsi"/>
          <w:shd w:val="clear" w:color="auto" w:fill="FFFFFF"/>
        </w:rPr>
        <w:t xml:space="preserve">every </w:t>
      </w:r>
      <w:r w:rsidRPr="002814FF">
        <w:rPr>
          <w:rFonts w:cstheme="minorHAnsi"/>
          <w:b/>
          <w:shd w:val="clear" w:color="auto" w:fill="FFFFFF"/>
        </w:rPr>
        <w:t>listed company</w:t>
      </w:r>
    </w:p>
    <w:p w:rsidR="00631AE1" w:rsidRPr="002814FF" w:rsidRDefault="00631AE1" w:rsidP="00B8649C">
      <w:pPr>
        <w:pStyle w:val="ListParagraph"/>
        <w:numPr>
          <w:ilvl w:val="0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every </w:t>
      </w:r>
      <w:r w:rsidRPr="002814FF">
        <w:rPr>
          <w:rFonts w:cstheme="minorHAnsi"/>
          <w:b/>
          <w:shd w:val="clear" w:color="auto" w:fill="FFFFFF"/>
        </w:rPr>
        <w:t>unlisted public company</w:t>
      </w:r>
      <w:r w:rsidRPr="002814FF">
        <w:rPr>
          <w:rFonts w:cstheme="minorHAnsi"/>
          <w:shd w:val="clear" w:color="auto" w:fill="FFFFFF"/>
        </w:rPr>
        <w:t xml:space="preserve"> having</w:t>
      </w:r>
    </w:p>
    <w:p w:rsidR="00631AE1" w:rsidRPr="002814FF" w:rsidRDefault="00631AE1" w:rsidP="00631AE1">
      <w:pPr>
        <w:pStyle w:val="ListParagraph"/>
        <w:numPr>
          <w:ilvl w:val="1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paid up share capital of fifty </w:t>
      </w:r>
      <w:proofErr w:type="spellStart"/>
      <w:r w:rsidRPr="002814FF">
        <w:rPr>
          <w:rFonts w:cstheme="minorHAnsi"/>
          <w:shd w:val="clear" w:color="auto" w:fill="FFFFFF"/>
        </w:rPr>
        <w:t>crore</w:t>
      </w:r>
      <w:proofErr w:type="spellEnd"/>
      <w:r w:rsidRPr="002814FF">
        <w:rPr>
          <w:rFonts w:cstheme="minorHAnsi"/>
          <w:shd w:val="clear" w:color="auto" w:fill="FFFFFF"/>
        </w:rPr>
        <w:t xml:space="preserve"> rupees or more during the preceding financial year; or</w:t>
      </w:r>
    </w:p>
    <w:p w:rsidR="00631AE1" w:rsidRPr="002814FF" w:rsidRDefault="00631AE1" w:rsidP="00631AE1">
      <w:pPr>
        <w:pStyle w:val="ListParagraph"/>
        <w:numPr>
          <w:ilvl w:val="1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turnover of two hundred </w:t>
      </w:r>
      <w:proofErr w:type="spellStart"/>
      <w:r w:rsidRPr="002814FF">
        <w:rPr>
          <w:rFonts w:cstheme="minorHAnsi"/>
          <w:shd w:val="clear" w:color="auto" w:fill="FFFFFF"/>
        </w:rPr>
        <w:t>crore</w:t>
      </w:r>
      <w:proofErr w:type="spellEnd"/>
      <w:r w:rsidRPr="002814FF">
        <w:rPr>
          <w:rFonts w:cstheme="minorHAnsi"/>
          <w:shd w:val="clear" w:color="auto" w:fill="FFFFFF"/>
        </w:rPr>
        <w:t xml:space="preserve"> rupees or more during the preceding financial year; or</w:t>
      </w:r>
    </w:p>
    <w:p w:rsidR="00631AE1" w:rsidRPr="002814FF" w:rsidRDefault="00631AE1" w:rsidP="00631AE1">
      <w:pPr>
        <w:pStyle w:val="ListParagraph"/>
        <w:numPr>
          <w:ilvl w:val="1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outstanding loans or borrowings from banks or public financial institutions exceeding one hundred </w:t>
      </w:r>
      <w:proofErr w:type="spellStart"/>
      <w:r w:rsidRPr="002814FF">
        <w:rPr>
          <w:rFonts w:cstheme="minorHAnsi"/>
          <w:shd w:val="clear" w:color="auto" w:fill="FFFFFF"/>
        </w:rPr>
        <w:t>crore</w:t>
      </w:r>
      <w:proofErr w:type="spellEnd"/>
      <w:r w:rsidRPr="002814FF">
        <w:rPr>
          <w:rFonts w:cstheme="minorHAnsi"/>
          <w:shd w:val="clear" w:color="auto" w:fill="FFFFFF"/>
        </w:rPr>
        <w:t xml:space="preserve"> rupees or more at any point of time during the preceding financial year; or</w:t>
      </w:r>
    </w:p>
    <w:p w:rsidR="00631AE1" w:rsidRPr="002814FF" w:rsidRDefault="00631AE1" w:rsidP="00631AE1">
      <w:pPr>
        <w:pStyle w:val="ListParagraph"/>
        <w:numPr>
          <w:ilvl w:val="1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outstanding deposits of twenty five </w:t>
      </w:r>
      <w:proofErr w:type="spellStart"/>
      <w:r w:rsidRPr="002814FF">
        <w:rPr>
          <w:rFonts w:cstheme="minorHAnsi"/>
          <w:shd w:val="clear" w:color="auto" w:fill="FFFFFF"/>
        </w:rPr>
        <w:t>crore</w:t>
      </w:r>
      <w:proofErr w:type="spellEnd"/>
      <w:r w:rsidRPr="002814FF">
        <w:rPr>
          <w:rFonts w:cstheme="minorHAnsi"/>
          <w:shd w:val="clear" w:color="auto" w:fill="FFFFFF"/>
        </w:rPr>
        <w:t xml:space="preserve"> rupees or more at any point of time during the preceding financial year; </w:t>
      </w:r>
    </w:p>
    <w:p w:rsidR="00631AE1" w:rsidRPr="002814FF" w:rsidRDefault="00631AE1" w:rsidP="00631AE1">
      <w:pPr>
        <w:pStyle w:val="ListParagraph"/>
        <w:numPr>
          <w:ilvl w:val="0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every </w:t>
      </w:r>
      <w:r w:rsidRPr="002814FF">
        <w:rPr>
          <w:rFonts w:cstheme="minorHAnsi"/>
          <w:b/>
          <w:shd w:val="clear" w:color="auto" w:fill="FFFFFF"/>
        </w:rPr>
        <w:t>private company</w:t>
      </w:r>
      <w:r w:rsidRPr="002814FF">
        <w:rPr>
          <w:rFonts w:cstheme="minorHAnsi"/>
          <w:shd w:val="clear" w:color="auto" w:fill="FFFFFF"/>
        </w:rPr>
        <w:t xml:space="preserve"> having</w:t>
      </w:r>
    </w:p>
    <w:p w:rsidR="002A437F" w:rsidRPr="002814FF" w:rsidRDefault="00631AE1" w:rsidP="002A437F">
      <w:pPr>
        <w:pStyle w:val="ListParagraph"/>
        <w:numPr>
          <w:ilvl w:val="1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turnover of two hundred </w:t>
      </w:r>
      <w:proofErr w:type="spellStart"/>
      <w:r w:rsidRPr="002814FF">
        <w:rPr>
          <w:rFonts w:cstheme="minorHAnsi"/>
          <w:shd w:val="clear" w:color="auto" w:fill="FFFFFF"/>
        </w:rPr>
        <w:t>crore</w:t>
      </w:r>
      <w:proofErr w:type="spellEnd"/>
      <w:r w:rsidRPr="002814FF">
        <w:rPr>
          <w:rFonts w:cstheme="minorHAnsi"/>
          <w:shd w:val="clear" w:color="auto" w:fill="FFFFFF"/>
        </w:rPr>
        <w:t xml:space="preserve"> rupees or</w:t>
      </w:r>
      <w:r w:rsidR="002A437F" w:rsidRPr="002814FF">
        <w:rPr>
          <w:rFonts w:cstheme="minorHAnsi"/>
          <w:shd w:val="clear" w:color="auto" w:fill="FFFFFF"/>
        </w:rPr>
        <w:t xml:space="preserve"> </w:t>
      </w:r>
      <w:r w:rsidRPr="002814FF">
        <w:rPr>
          <w:rFonts w:cstheme="minorHAnsi"/>
          <w:shd w:val="clear" w:color="auto" w:fill="FFFFFF"/>
        </w:rPr>
        <w:t>more during the preceding financial year, or</w:t>
      </w:r>
    </w:p>
    <w:p w:rsidR="002A437F" w:rsidRPr="001C159B" w:rsidRDefault="00631AE1" w:rsidP="001C159B">
      <w:pPr>
        <w:pStyle w:val="ListParagraph"/>
        <w:numPr>
          <w:ilvl w:val="1"/>
          <w:numId w:val="1"/>
        </w:numPr>
        <w:rPr>
          <w:rFonts w:cstheme="minorHAnsi"/>
        </w:rPr>
      </w:pPr>
      <w:r w:rsidRPr="002814FF">
        <w:rPr>
          <w:rFonts w:cstheme="minorHAnsi"/>
          <w:shd w:val="clear" w:color="auto" w:fill="FFFFFF"/>
        </w:rPr>
        <w:t xml:space="preserve">outstanding loans or borrowings from banks or public financial institutions exceeding one hundred </w:t>
      </w:r>
      <w:proofErr w:type="spellStart"/>
      <w:r w:rsidRPr="002814FF">
        <w:rPr>
          <w:rFonts w:cstheme="minorHAnsi"/>
          <w:shd w:val="clear" w:color="auto" w:fill="FFFFFF"/>
        </w:rPr>
        <w:t>crore</w:t>
      </w:r>
      <w:proofErr w:type="spellEnd"/>
      <w:r w:rsidRPr="002814FF">
        <w:rPr>
          <w:rFonts w:cstheme="minorHAnsi"/>
          <w:shd w:val="clear" w:color="auto" w:fill="FFFFFF"/>
        </w:rPr>
        <w:t xml:space="preserve"> rupees or more at any point of time during the preceding financial</w:t>
      </w:r>
      <w:r w:rsidR="002A437F" w:rsidRPr="002814FF">
        <w:rPr>
          <w:rFonts w:cstheme="minorHAnsi"/>
        </w:rPr>
        <w:t xml:space="preserve"> year.</w:t>
      </w:r>
    </w:p>
    <w:p w:rsidR="00A93397" w:rsidRPr="00A93397" w:rsidRDefault="00A93397" w:rsidP="00A93397">
      <w:pPr>
        <w:rPr>
          <w:rFonts w:cstheme="minorHAnsi"/>
          <w:b/>
          <w:shd w:val="clear" w:color="auto" w:fill="FFFFFF"/>
        </w:rPr>
      </w:pPr>
      <w:r>
        <w:t>The Central Government may, by rules, prescribe the manner and the intervals in which the internal audit shall be conducted and reported to the Board.</w:t>
      </w:r>
    </w:p>
    <w:p w:rsidR="00631AE1" w:rsidRPr="00A93397" w:rsidRDefault="00A93397" w:rsidP="00A93397">
      <w:pPr>
        <w:rPr>
          <w:rFonts w:cstheme="minorHAnsi"/>
        </w:rPr>
      </w:pPr>
      <w:r w:rsidRPr="00A93397">
        <w:rPr>
          <w:rFonts w:cstheme="minorHAnsi"/>
        </w:rPr>
        <w:t>Therefore, the companies which fulfil the criteria mentioned above should mandatorily comply with the provisions of Section 138 and should appoint an Internal Auditor.</w:t>
      </w:r>
    </w:p>
    <w:p w:rsidR="00A93397" w:rsidRDefault="006A3A50" w:rsidP="00A93397">
      <w:pPr>
        <w:tabs>
          <w:tab w:val="left" w:pos="6361"/>
        </w:tabs>
        <w:spacing w:after="0"/>
        <w:jc w:val="both"/>
      </w:pPr>
      <w:r>
        <w:t xml:space="preserve">You can get in touch with us for all your queries and concerns in relation to above at </w:t>
      </w:r>
      <w:hyperlink r:id="rId5" w:history="1">
        <w:r>
          <w:rPr>
            <w:rStyle w:val="Hyperlink"/>
          </w:rPr>
          <w:t>info@dcstax.in</w:t>
        </w:r>
      </w:hyperlink>
      <w:r>
        <w:t xml:space="preserve"> or visit us at </w:t>
      </w:r>
      <w:hyperlink r:id="rId6" w:history="1">
        <w:r w:rsidRPr="001B5043">
          <w:rPr>
            <w:rStyle w:val="Hyperlink"/>
          </w:rPr>
          <w:t>www.dcstax.in</w:t>
        </w:r>
      </w:hyperlink>
    </w:p>
    <w:p w:rsidR="006A3A50" w:rsidRDefault="006A3A50" w:rsidP="00A93397">
      <w:pPr>
        <w:tabs>
          <w:tab w:val="left" w:pos="6361"/>
        </w:tabs>
        <w:spacing w:after="0"/>
        <w:jc w:val="both"/>
      </w:pPr>
    </w:p>
    <w:p w:rsidR="00A93397" w:rsidRDefault="00A93397" w:rsidP="00A93397">
      <w:pPr>
        <w:tabs>
          <w:tab w:val="left" w:pos="6361"/>
        </w:tabs>
        <w:spacing w:after="0"/>
        <w:jc w:val="both"/>
      </w:pPr>
      <w:r>
        <w:rPr>
          <w:rFonts w:ascii="Arial" w:eastAsia="Times New Roman" w:hAnsi="Arial" w:cs="Arial"/>
          <w:noProof/>
          <w:color w:val="222222"/>
          <w:sz w:val="16"/>
          <w:szCs w:val="16"/>
        </w:rPr>
        <w:drawing>
          <wp:inline distT="0" distB="0" distL="0" distR="0">
            <wp:extent cx="1199056" cy="826935"/>
            <wp:effectExtent l="19050" t="0" r="1094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8338" cy="8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97" w:rsidRDefault="00A93397" w:rsidP="00A93397">
      <w:pPr>
        <w:tabs>
          <w:tab w:val="left" w:pos="6361"/>
        </w:tabs>
        <w:spacing w:after="0"/>
        <w:jc w:val="both"/>
      </w:pPr>
      <w:r w:rsidRPr="00C91E38">
        <w:rPr>
          <w:rFonts w:ascii="Arial Black" w:eastAsia="Times New Roman" w:hAnsi="Arial Black" w:cs="Calibri"/>
          <w:b/>
          <w:bCs/>
          <w:color w:val="00B0F0"/>
          <w:sz w:val="24"/>
          <w:szCs w:val="24"/>
        </w:rPr>
        <w:t>Dudhoria Consultancy Services Pvt. Ltd.</w:t>
      </w:r>
    </w:p>
    <w:p w:rsidR="00A93397" w:rsidRPr="00C91E38" w:rsidRDefault="00A93397" w:rsidP="00A93397">
      <w:pPr>
        <w:shd w:val="clear" w:color="auto" w:fill="FFFFFF"/>
        <w:spacing w:after="0"/>
        <w:rPr>
          <w:rFonts w:ascii="Arial Black" w:eastAsia="Times New Roman" w:hAnsi="Arial Black" w:cs="Calibri"/>
          <w:color w:val="00B0F0"/>
          <w:sz w:val="15"/>
          <w:szCs w:val="15"/>
        </w:rPr>
      </w:pPr>
      <w:r w:rsidRPr="00C91E38">
        <w:rPr>
          <w:rFonts w:ascii="Arial Black" w:eastAsia="Times New Roman" w:hAnsi="Arial Black" w:cs="Calibri"/>
          <w:color w:val="00B0F0"/>
          <w:sz w:val="15"/>
          <w:szCs w:val="15"/>
        </w:rPr>
        <w:t>56, Netaji Subhas Road, 4th Floor, Kolkata – 700001</w:t>
      </w:r>
    </w:p>
    <w:p w:rsidR="00A93397" w:rsidRPr="005314DA" w:rsidRDefault="00A93397" w:rsidP="00A93397">
      <w:pPr>
        <w:spacing w:after="0"/>
      </w:pPr>
      <w:r w:rsidRPr="00C91E38">
        <w:rPr>
          <w:rFonts w:ascii="Arial Black" w:eastAsia="Times New Roman" w:hAnsi="Arial Black" w:cs="Calibri"/>
          <w:color w:val="00B0F0"/>
          <w:sz w:val="15"/>
          <w:szCs w:val="15"/>
        </w:rPr>
        <w:t xml:space="preserve">E-mail us @ </w:t>
      </w:r>
      <w:hyperlink r:id="rId8" w:history="1">
        <w:r w:rsidRPr="00C91E38">
          <w:rPr>
            <w:rStyle w:val="Hyperlink"/>
            <w:rFonts w:ascii="Arial Black" w:eastAsia="Times New Roman" w:hAnsi="Arial Black" w:cs="Calibri"/>
            <w:color w:val="00B0F0"/>
            <w:sz w:val="15"/>
            <w:szCs w:val="15"/>
          </w:rPr>
          <w:t>info@dcstax.in</w:t>
        </w:r>
      </w:hyperlink>
      <w:r w:rsidRPr="00C91E38">
        <w:rPr>
          <w:rFonts w:ascii="Arial Black" w:eastAsia="Times New Roman" w:hAnsi="Arial Black" w:cs="Calibri"/>
          <w:color w:val="00B0F0"/>
          <w:sz w:val="15"/>
          <w:szCs w:val="15"/>
        </w:rPr>
        <w:t xml:space="preserve"> / </w:t>
      </w:r>
      <w:hyperlink r:id="rId9" w:history="1">
        <w:r w:rsidRPr="00C91E38">
          <w:rPr>
            <w:rStyle w:val="Hyperlink"/>
            <w:rFonts w:ascii="Arial Black" w:eastAsia="Times New Roman" w:hAnsi="Arial Black" w:cs="Calibri"/>
            <w:color w:val="00B0F0"/>
            <w:sz w:val="15"/>
            <w:szCs w:val="15"/>
          </w:rPr>
          <w:t>taxdcs@gmail.com</w:t>
        </w:r>
      </w:hyperlink>
    </w:p>
    <w:p w:rsidR="00A93397" w:rsidRDefault="00A93397" w:rsidP="002A437F">
      <w:pPr>
        <w:pStyle w:val="ListParagraph"/>
        <w:rPr>
          <w:rFonts w:cstheme="minorHAnsi"/>
        </w:rPr>
      </w:pPr>
    </w:p>
    <w:p w:rsidR="00A93397" w:rsidRPr="002A437F" w:rsidRDefault="00A93397" w:rsidP="002A437F">
      <w:pPr>
        <w:pStyle w:val="ListParagraph"/>
        <w:rPr>
          <w:rFonts w:cstheme="minorHAnsi"/>
        </w:rPr>
      </w:pPr>
    </w:p>
    <w:sectPr w:rsidR="00A93397" w:rsidRPr="002A437F" w:rsidSect="0088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E66"/>
    <w:multiLevelType w:val="hybridMultilevel"/>
    <w:tmpl w:val="27CADCAC"/>
    <w:lvl w:ilvl="0" w:tplc="75BABC60">
      <w:start w:val="138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17D33"/>
    <w:rsid w:val="001C159B"/>
    <w:rsid w:val="00217D33"/>
    <w:rsid w:val="002814FF"/>
    <w:rsid w:val="002A437F"/>
    <w:rsid w:val="00631AE1"/>
    <w:rsid w:val="006A3A50"/>
    <w:rsid w:val="006B1139"/>
    <w:rsid w:val="00821497"/>
    <w:rsid w:val="00885C16"/>
    <w:rsid w:val="00997A99"/>
    <w:rsid w:val="00A93397"/>
    <w:rsid w:val="00B8649C"/>
    <w:rsid w:val="00E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stax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stax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cstax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xd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Sambhav</cp:lastModifiedBy>
  <cp:revision>7</cp:revision>
  <dcterms:created xsi:type="dcterms:W3CDTF">2015-10-07T00:07:00Z</dcterms:created>
  <dcterms:modified xsi:type="dcterms:W3CDTF">2015-11-16T08:53:00Z</dcterms:modified>
</cp:coreProperties>
</file>